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AE6C4B" w:rsidRPr="00BF5879" w:rsidRDefault="00AE6C4B" w:rsidP="00AE6C4B">
      <w:pPr>
        <w:tabs>
          <w:tab w:val="left" w:pos="2226"/>
        </w:tabs>
        <w:rPr>
          <w:sz w:val="24"/>
          <w:szCs w:val="24"/>
        </w:rPr>
      </w:pPr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AE6C4B" w:rsidRPr="00BF5879" w:rsidRDefault="00AE6C4B" w:rsidP="00AE6C4B">
      <w:pPr>
        <w:tabs>
          <w:tab w:val="left" w:pos="2226"/>
        </w:tabs>
        <w:rPr>
          <w:sz w:val="24"/>
          <w:szCs w:val="24"/>
        </w:rPr>
      </w:pPr>
    </w:p>
    <w:p w:rsidR="00AE6C4B" w:rsidRPr="00BF5879" w:rsidRDefault="00AE6C4B" w:rsidP="00AE6C4B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>v Bohumíně</w:t>
      </w:r>
      <w:r>
        <w:rPr>
          <w:b/>
          <w:sz w:val="24"/>
          <w:szCs w:val="24"/>
        </w:rPr>
        <w:t xml:space="preserve"> -</w:t>
      </w:r>
      <w:r w:rsidRPr="00BF5879">
        <w:rPr>
          <w:b/>
          <w:sz w:val="24"/>
          <w:szCs w:val="24"/>
        </w:rPr>
        <w:t xml:space="preserve"> I</w:t>
      </w:r>
      <w:r>
        <w:rPr>
          <w:b/>
          <w:sz w:val="24"/>
          <w:szCs w:val="24"/>
        </w:rPr>
        <w:t>I</w:t>
      </w:r>
      <w:r w:rsidRPr="00BF5879">
        <w:rPr>
          <w:b/>
          <w:sz w:val="24"/>
          <w:szCs w:val="24"/>
        </w:rPr>
        <w:t xml:space="preserve">. č. p.: </w:t>
      </w:r>
      <w:r>
        <w:rPr>
          <w:b/>
          <w:sz w:val="24"/>
          <w:szCs w:val="24"/>
        </w:rPr>
        <w:t>149</w:t>
      </w:r>
    </w:p>
    <w:p w:rsidR="00AE6C4B" w:rsidRPr="00BF5879" w:rsidRDefault="00AE6C4B" w:rsidP="00AE6C4B">
      <w:pPr>
        <w:rPr>
          <w:sz w:val="24"/>
          <w:szCs w:val="24"/>
        </w:rPr>
      </w:pPr>
    </w:p>
    <w:p w:rsidR="00AE6C4B" w:rsidRPr="00BF5879" w:rsidRDefault="00AE6C4B" w:rsidP="00AE6C4B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 xml:space="preserve">.: Nový Bohumín, </w:t>
      </w:r>
      <w:proofErr w:type="spellStart"/>
      <w:proofErr w:type="gramStart"/>
      <w:r w:rsidRPr="00BF5879">
        <w:rPr>
          <w:sz w:val="24"/>
          <w:szCs w:val="24"/>
        </w:rPr>
        <w:t>parc</w:t>
      </w:r>
      <w:proofErr w:type="gramEnd"/>
      <w:r w:rsidRPr="00BF5879">
        <w:rPr>
          <w:sz w:val="24"/>
          <w:szCs w:val="24"/>
        </w:rPr>
        <w:t>.</w:t>
      </w:r>
      <w:proofErr w:type="gramStart"/>
      <w:r w:rsidRPr="00BF5879">
        <w:rPr>
          <w:sz w:val="24"/>
          <w:szCs w:val="24"/>
        </w:rPr>
        <w:t>č</w:t>
      </w:r>
      <w:proofErr w:type="spellEnd"/>
      <w:r w:rsidRPr="00BF5879">
        <w:rPr>
          <w:sz w:val="24"/>
          <w:szCs w:val="24"/>
        </w:rPr>
        <w:t>.</w:t>
      </w:r>
      <w:proofErr w:type="gramEnd"/>
      <w:r w:rsidRPr="00BF5879">
        <w:rPr>
          <w:sz w:val="24"/>
          <w:szCs w:val="24"/>
        </w:rPr>
        <w:t xml:space="preserve">: 767/1, </w:t>
      </w:r>
      <w:r>
        <w:rPr>
          <w:sz w:val="24"/>
          <w:szCs w:val="24"/>
        </w:rPr>
        <w:t>769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E409A">
        <w:rPr>
          <w:rFonts w:ascii="Arial" w:hAnsi="Arial" w:cs="Arial"/>
        </w:rPr>
        <w:t>témem objektu sloužícího jako dům s pečovatelskou službou</w:t>
      </w:r>
      <w:r w:rsidR="00DA1A5B">
        <w:rPr>
          <w:rFonts w:ascii="Arial" w:hAnsi="Arial" w:cs="Arial"/>
        </w:rPr>
        <w:t xml:space="preserve">. </w:t>
      </w:r>
      <w:r w:rsidR="00DE409A">
        <w:rPr>
          <w:rFonts w:ascii="Arial" w:hAnsi="Arial" w:cs="Arial"/>
        </w:rPr>
        <w:t>Objekt je umístěn</w:t>
      </w:r>
      <w:r w:rsidR="002C7FFD">
        <w:rPr>
          <w:rFonts w:ascii="Arial" w:hAnsi="Arial" w:cs="Arial"/>
        </w:rPr>
        <w:t xml:space="preserve">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</w:t>
      </w:r>
      <w:r w:rsidR="00DE409A">
        <w:rPr>
          <w:rFonts w:ascii="Arial" w:hAnsi="Arial" w:cs="Arial"/>
          <w:color w:val="000000"/>
          <w:sz w:val="20"/>
          <w:szCs w:val="20"/>
        </w:rPr>
        <w:t>dům s pečovatelskou službou</w:t>
      </w:r>
      <w:bookmarkStart w:id="0" w:name="_GoBack"/>
      <w:bookmarkEnd w:id="0"/>
      <w:r w:rsidR="00F74D93">
        <w:rPr>
          <w:rFonts w:ascii="Arial" w:hAnsi="Arial" w:cs="Arial"/>
          <w:color w:val="000000"/>
          <w:sz w:val="20"/>
          <w:szCs w:val="20"/>
        </w:rPr>
        <w:t>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</w:t>
      </w:r>
      <w:r w:rsidR="00DF54C1">
        <w:rPr>
          <w:rFonts w:ascii="Arial" w:hAnsi="Arial" w:cs="Arial"/>
        </w:rPr>
        <w:t xml:space="preserve"> (částečně 80 mm)</w:t>
      </w:r>
      <w:r w:rsidRPr="002C7FFD">
        <w:rPr>
          <w:rFonts w:ascii="Arial" w:hAnsi="Arial" w:cs="Arial"/>
        </w:rPr>
        <w:t xml:space="preserve">. </w:t>
      </w:r>
      <w:r w:rsidR="00AE6C4B">
        <w:rPr>
          <w:rFonts w:ascii="Arial" w:hAnsi="Arial" w:cs="Arial"/>
        </w:rPr>
        <w:t>Bude se</w:t>
      </w:r>
      <w:r w:rsidRPr="002C7FFD">
        <w:rPr>
          <w:rFonts w:ascii="Arial" w:hAnsi="Arial" w:cs="Arial"/>
        </w:rPr>
        <w:t xml:space="preserve"> jednat </w:t>
      </w:r>
      <w:r w:rsidR="00AE6C4B">
        <w:rPr>
          <w:rFonts w:ascii="Arial" w:hAnsi="Arial" w:cs="Arial"/>
        </w:rPr>
        <w:t>minerální vlnu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 xml:space="preserve">. </w:t>
      </w:r>
      <w:r w:rsidR="00D20251">
        <w:rPr>
          <w:rFonts w:ascii="Arial" w:hAnsi="Arial" w:cs="Arial"/>
        </w:rPr>
        <w:t xml:space="preserve">V místě soklu půjde o XPS. </w:t>
      </w:r>
      <w:r w:rsidR="00554DE6" w:rsidRPr="00302E9A">
        <w:rPr>
          <w:rFonts w:ascii="Arial" w:hAnsi="Arial" w:cs="Arial"/>
        </w:rPr>
        <w:t>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DF54C1" w:rsidP="009B4D33">
      <w:pPr>
        <w:spacing w:before="120" w:after="120"/>
        <w:rPr>
          <w:b/>
        </w:rPr>
      </w:pPr>
      <w:r>
        <w:rPr>
          <w:b/>
        </w:rPr>
        <w:t xml:space="preserve">Výška budovy: h = </w:t>
      </w:r>
      <w:r w:rsidR="001A47C3">
        <w:rPr>
          <w:b/>
        </w:rPr>
        <w:t>14,370</w:t>
      </w:r>
      <w:r w:rsidR="00413700">
        <w:rPr>
          <w:b/>
        </w:rPr>
        <w:t xml:space="preserve">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1A47C3">
        <w:rPr>
          <w:b/>
        </w:rPr>
        <w:t>12</w:t>
      </w:r>
      <w:r>
        <w:rPr>
          <w:b/>
        </w:rPr>
        <w:t>,</w:t>
      </w:r>
      <w:r w:rsidR="001A47C3">
        <w:rPr>
          <w:b/>
        </w:rPr>
        <w:t>600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1A47C3">
        <w:rPr>
          <w:b/>
        </w:rPr>
        <w:t>48,05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1A47C3" w:rsidRPr="001A47C3">
        <w:rPr>
          <w:rFonts w:ascii="Arial" w:hAnsi="Arial" w:cs="Arial"/>
        </w:rPr>
        <w:t xml:space="preserve">14,370 </w:t>
      </w:r>
      <w:r w:rsidRPr="00B75B8E">
        <w:rPr>
          <w:rFonts w:ascii="Arial" w:hAnsi="Arial" w:cs="Arial"/>
        </w:rPr>
        <w:t xml:space="preserve">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1A47C3" w:rsidRPr="001A47C3">
        <w:rPr>
          <w:rFonts w:ascii="Arial" w:hAnsi="Arial" w:cs="Arial"/>
        </w:rPr>
        <w:t>14,370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</w:t>
      </w:r>
      <w:r w:rsidR="001A47C3" w:rsidRPr="001A47C3">
        <w:rPr>
          <w:rFonts w:ascii="Arial" w:hAnsi="Arial" w:cs="Arial"/>
        </w:rPr>
        <w:t xml:space="preserve">14,370 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1A47C3" w:rsidRPr="001A47C3">
        <w:rPr>
          <w:rFonts w:ascii="Arial" w:hAnsi="Arial" w:cs="Arial"/>
        </w:rPr>
        <w:t>14,370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DF54C1">
        <w:rPr>
          <w:rFonts w:ascii="Arial" w:hAnsi="Arial" w:cs="Arial"/>
        </w:rPr>
        <w:t>48,</w:t>
      </w:r>
      <w:r w:rsidR="001A47C3">
        <w:rPr>
          <w:rFonts w:ascii="Arial" w:hAnsi="Arial" w:cs="Arial"/>
        </w:rPr>
        <w:t>05</w:t>
      </w:r>
      <w:r w:rsidR="00580573" w:rsidRPr="00580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m, b = </w:t>
      </w:r>
      <w:r w:rsidR="001A47C3">
        <w:rPr>
          <w:rFonts w:ascii="Arial" w:hAnsi="Arial" w:cs="Arial"/>
        </w:rPr>
        <w:t>12,6</w:t>
      </w:r>
      <w:r w:rsidR="00580573" w:rsidRPr="00580573">
        <w:rPr>
          <w:rFonts w:ascii="Arial" w:hAnsi="Arial" w:cs="Arial"/>
        </w:rPr>
        <w:t xml:space="preserve">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1A47C3">
        <w:rPr>
          <w:rFonts w:ascii="Arial" w:hAnsi="Arial" w:cs="Arial"/>
        </w:rPr>
        <w:t>12,6</w:t>
      </w:r>
      <w:r w:rsidR="00580573" w:rsidRPr="00580573">
        <w:rPr>
          <w:rFonts w:ascii="Arial" w:hAnsi="Arial" w:cs="Arial"/>
        </w:rPr>
        <w:t xml:space="preserve"> </w:t>
      </w:r>
      <w:r w:rsidR="00C06414">
        <w:rPr>
          <w:rFonts w:ascii="Arial" w:hAnsi="Arial" w:cs="Arial"/>
        </w:rPr>
        <w:t>m</w:t>
      </w:r>
      <w:r w:rsidR="001A47C3">
        <w:rPr>
          <w:rFonts w:ascii="Arial" w:hAnsi="Arial" w:cs="Arial"/>
        </w:rPr>
        <w:t>, e/5 = 2,52</w:t>
      </w:r>
      <w:r w:rsidR="00580573">
        <w:rPr>
          <w:rFonts w:ascii="Arial" w:hAnsi="Arial" w:cs="Arial"/>
        </w:rPr>
        <w:t xml:space="preserve">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1A47C3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AE6C4B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0251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409A"/>
    <w:rsid w:val="00DE750D"/>
    <w:rsid w:val="00DF54C1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0C69-C2EB-49FE-A4E7-CF72F1E6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1642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9</cp:revision>
  <cp:lastPrinted>2015-05-04T14:33:00Z</cp:lastPrinted>
  <dcterms:created xsi:type="dcterms:W3CDTF">2017-07-01T12:53:00Z</dcterms:created>
  <dcterms:modified xsi:type="dcterms:W3CDTF">2018-12-21T19:33:00Z</dcterms:modified>
</cp:coreProperties>
</file>